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591" w:rsidRDefault="007D3B2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591" w:rsidRDefault="00903591">
      <w:pPr>
        <w:pStyle w:val="NoSpacing"/>
        <w:rPr>
          <w:rFonts w:ascii="Arial" w:hAnsi="Arial" w:cs="Arial"/>
          <w:b/>
          <w:sz w:val="14"/>
          <w:szCs w:val="14"/>
        </w:rPr>
      </w:pPr>
    </w:p>
    <w:p w:rsidR="00903591" w:rsidRDefault="007D3B2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903591" w:rsidRDefault="0090359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903591" w:rsidRDefault="0090359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C079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07923">
              <w:rPr>
                <w:rFonts w:asciiTheme="majorHAnsi" w:hAnsiTheme="majorHAnsi"/>
                <w:b/>
                <w:sz w:val="18"/>
                <w:szCs w:val="18"/>
              </w:rPr>
              <w:t>Savremeni oblici nastave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C079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07923">
              <w:rPr>
                <w:rFonts w:asciiTheme="majorHAnsi" w:hAnsiTheme="majorHAnsi" w:cs="Arial"/>
                <w:b/>
                <w:sz w:val="18"/>
                <w:szCs w:val="18"/>
              </w:rPr>
              <w:t>SONH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D3277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903591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903591" w:rsidRDefault="007D3B2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757CD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757CD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903591" w:rsidRDefault="0090359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03591" w:rsidRDefault="0090359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D3277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182F2B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82F2B">
              <w:rPr>
                <w:rFonts w:asciiTheme="majorHAnsi" w:hAnsiTheme="majorHAnsi" w:cs="Arial"/>
                <w:b/>
                <w:sz w:val="18"/>
                <w:szCs w:val="18"/>
              </w:rPr>
              <w:t>45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903591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182F2B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182F2B">
              <w:rPr>
                <w:rFonts w:asciiTheme="majorHAnsi" w:hAnsiTheme="majorHAnsi"/>
                <w:b/>
                <w:sz w:val="18"/>
                <w:szCs w:val="18"/>
              </w:rPr>
              <w:t>11,3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C07923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>
              <w:rPr>
                <w:rFonts w:asciiTheme="majorHAnsi" w:hAnsiTheme="majorHAnsi"/>
                <w:b/>
                <w:sz w:val="18"/>
                <w:szCs w:val="18"/>
              </w:rPr>
              <w:t>15</w:t>
            </w:r>
            <w:r w:rsidR="00C07923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D32771">
              <w:rPr>
                <w:rFonts w:asciiTheme="majorHAnsi" w:hAnsiTheme="majorHAnsi"/>
                <w:b/>
                <w:sz w:val="18"/>
                <w:szCs w:val="18"/>
              </w:rPr>
              <w:t>,3333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D3277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D327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- usmjerenje Edukacija u hemiji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033E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prof.dr.</w:t>
            </w:r>
            <w:r w:rsidR="00033ED3">
              <w:rPr>
                <w:rFonts w:asciiTheme="majorHAnsi" w:hAnsiTheme="majorHAnsi" w:cs="Arial"/>
                <w:b/>
                <w:sz w:val="18"/>
                <w:szCs w:val="18"/>
              </w:rPr>
              <w:t>Aldina Kesić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033E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33ED3" w:rsidRPr="00033ED3">
              <w:rPr>
                <w:rFonts w:asciiTheme="majorHAnsi" w:hAnsiTheme="majorHAnsi"/>
                <w:b/>
                <w:sz w:val="18"/>
                <w:szCs w:val="18"/>
              </w:rPr>
              <w:t xml:space="preserve">Formiranje znanja o savremenim konceptima dizajniranja nastavnog procesa, razvijanje vještina kritičkog preispitivanja postojeće prakse u nastavi hemije i iznalaženje kreativnih rješenja.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033E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33ED3" w:rsidRPr="00033ED3">
              <w:rPr>
                <w:rFonts w:asciiTheme="majorHAnsi" w:hAnsiTheme="majorHAnsi" w:cs="Arial"/>
                <w:b/>
                <w:sz w:val="18"/>
                <w:szCs w:val="18"/>
              </w:rPr>
              <w:t>Nakon uspješno završenog kursa, student je u stanju da: analizira, kritički procjenjuje i izabere savremene optimalne nastavne metode za realizaciju različitih nastavnih tema u nastavi hemije za osnovne i  srednje škole; opiše, izabere i primjenjuje adekvatne oblike rada u konkretnim nastavnim situacijama; obrazloži potrebu za nastavnim objektima, opremi i nastavnim sredstvima neophodnim u savremenoj nastavi hemije, te se aktivno zalaže za realizaciju ovih potreba u realnoj nastavi hemije; primjenjuje različite oblike savremene evaluacije znanja učenika iz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033E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33ED3">
              <w:rPr>
                <w:rFonts w:asciiTheme="majorHAnsi" w:hAnsiTheme="majorHAnsi" w:cs="Arial"/>
                <w:b/>
                <w:sz w:val="18"/>
                <w:szCs w:val="18"/>
              </w:rPr>
              <w:t>N</w:t>
            </w:r>
            <w:r w:rsidR="00033ED3" w:rsidRPr="00033ED3">
              <w:rPr>
                <w:rFonts w:asciiTheme="majorHAnsi" w:hAnsiTheme="majorHAnsi"/>
                <w:b/>
                <w:sz w:val="18"/>
                <w:szCs w:val="18"/>
              </w:rPr>
              <w:t xml:space="preserve">astava hemije kao proces poučavanja i učenja. Odlike procesa učenja u nastavi hemije. Savremene didaktične teorije. Teorija kurikuluma. Standardi, ciljevi i ishodi u nastavi hemije. Sistematski pristup planiranju u nastavi hemije. Principi djelotvorne nastave hemije. Motivacija u nastavi hemije i motivacija za učenje. Razvijajuće nastava hemije. Aktivno učenje hemije. Interaktivna nastava hemije. Odnos metoda, sredstava i sadržaja nastave hemije. Virtuelna učionica. Komunikacija u nastavi hemije. Evaluacija u nastavi hemije-vrste, kriterijumi.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nastavnika,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diskusija i konsultacije studenta sa predmetnim nastavnikom, individualna izrada seminarskog rada.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-Dva testa (prvi i drugi parcijalni): maksimalno 2x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0%; Seminarski rad: 15%, Aktivnosti studenta: 5%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7D5AD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33ED3" w:rsidRPr="00033ED3" w:rsidRDefault="007D3B26" w:rsidP="00033E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B5D0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033ED3" w:rsidRPr="00033ED3">
              <w:rPr>
                <w:rFonts w:asciiTheme="majorHAnsi" w:hAnsiTheme="majorHAnsi" w:cs="Arial"/>
                <w:b/>
                <w:sz w:val="18"/>
                <w:szCs w:val="18"/>
              </w:rPr>
              <w:t xml:space="preserve">. DŽ.Brofi:Nastava;Pedagoško društvo Srbije,Beograd 2004 </w:t>
            </w:r>
          </w:p>
          <w:p w:rsidR="00033ED3" w:rsidRPr="00033ED3" w:rsidRDefault="00033ED3" w:rsidP="00033E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ED3">
              <w:rPr>
                <w:rFonts w:asciiTheme="majorHAnsi" w:hAnsiTheme="majorHAnsi" w:cs="Arial"/>
                <w:b/>
                <w:sz w:val="18"/>
                <w:szCs w:val="18"/>
              </w:rPr>
              <w:t xml:space="preserve">2. M.Beker:Motivacija; Pedagoško društvo Srbije, Beograd 2005 </w:t>
            </w:r>
          </w:p>
          <w:p w:rsidR="00033ED3" w:rsidRPr="00033ED3" w:rsidRDefault="00033ED3" w:rsidP="00033E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ED3">
              <w:rPr>
                <w:rFonts w:asciiTheme="majorHAnsi" w:hAnsiTheme="majorHAnsi" w:cs="Arial"/>
                <w:b/>
                <w:sz w:val="18"/>
                <w:szCs w:val="18"/>
              </w:rPr>
              <w:t>3.Džinović, V. (2010). Principi podsticanja individualne promene u profesionalnom</w:t>
            </w:r>
          </w:p>
          <w:p w:rsidR="00903591" w:rsidRDefault="00033ED3" w:rsidP="00033E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33ED3">
              <w:rPr>
                <w:rFonts w:asciiTheme="majorHAnsi" w:hAnsiTheme="majorHAnsi" w:cs="Arial"/>
                <w:b/>
                <w:sz w:val="18"/>
                <w:szCs w:val="18"/>
              </w:rPr>
              <w:t>razvoju nastavnika.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033ED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33ED3" w:rsidRPr="00033ED3">
              <w:rPr>
                <w:rFonts w:asciiTheme="majorHAnsi" w:hAnsiTheme="majorHAnsi" w:cs="Arial"/>
                <w:b/>
                <w:sz w:val="18"/>
                <w:szCs w:val="18"/>
              </w:rPr>
              <w:t>Hattie, J. (2009). Visible learning. Routledge, Taylor &amp; Francis group, London and New York.</w:t>
            </w:r>
            <w:r w:rsidR="00DB5D0D" w:rsidRPr="00DB5D0D">
              <w:rPr>
                <w:rFonts w:asciiTheme="majorHAnsi" w:hAnsiTheme="majorHAnsi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9F149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9F149F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9F149F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82F2B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182F2B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182F2B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Pr="009F149F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Pr="009F149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F149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903591" w:rsidRDefault="00903591">
      <w:pPr>
        <w:spacing w:after="0" w:line="240" w:lineRule="auto"/>
        <w:rPr>
          <w:rFonts w:ascii="Book Antiqua" w:hAnsi="Book Antiqua"/>
        </w:rPr>
      </w:pPr>
    </w:p>
    <w:sectPr w:rsidR="00903591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CD0" w:rsidRDefault="00757CD0">
      <w:pPr>
        <w:spacing w:line="240" w:lineRule="auto"/>
      </w:pPr>
      <w:r>
        <w:separator/>
      </w:r>
    </w:p>
  </w:endnote>
  <w:endnote w:type="continuationSeparator" w:id="0">
    <w:p w:rsidR="00757CD0" w:rsidRDefault="00757C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903591">
      <w:trPr>
        <w:trHeight w:val="445"/>
      </w:trPr>
      <w:tc>
        <w:tcPr>
          <w:tcW w:w="1470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F149F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F149F">
            <w:rPr>
              <w:rFonts w:ascii="Cambria" w:hAnsi="Cambria" w:cs="Calibri"/>
              <w:noProof/>
              <w:sz w:val="16"/>
              <w:szCs w:val="16"/>
            </w:rPr>
            <w:t>1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F149F">
            <w:rPr>
              <w:rFonts w:ascii="Cambria" w:hAnsi="Cambria" w:cs="Calibri"/>
              <w:noProof/>
              <w:sz w:val="16"/>
              <w:szCs w:val="16"/>
            </w:rPr>
            <w:t>2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903591" w:rsidRDefault="0090359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CD0" w:rsidRDefault="00757CD0">
      <w:pPr>
        <w:spacing w:after="0"/>
      </w:pPr>
      <w:r>
        <w:separator/>
      </w:r>
    </w:p>
  </w:footnote>
  <w:footnote w:type="continuationSeparator" w:id="0">
    <w:p w:rsidR="00757CD0" w:rsidRDefault="00757C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591" w:rsidRDefault="00903591">
    <w:pPr>
      <w:pStyle w:val="Header"/>
    </w:pPr>
  </w:p>
  <w:p w:rsidR="00903591" w:rsidRDefault="009035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3ED3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2F2B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855EE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0F15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57CD0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3B26"/>
    <w:rsid w:val="007D5AD2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3591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149F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792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2771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B5D0D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73AA6-C24F-4DF5-B321-41905264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BB610-E891-4A55-8A5A-85DC8D209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2025-11-17T10:50:00Z</dcterms:created>
  <dcterms:modified xsi:type="dcterms:W3CDTF">2025-11-21T08:44:00Z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